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0375" w14:textId="051B94D1" w:rsidR="00533FE4" w:rsidRDefault="7E297EDF" w:rsidP="7E297EDF">
      <w:pPr>
        <w:rPr>
          <w:rFonts w:ascii="Calibri" w:eastAsia="Calibri" w:hAnsi="Calibri" w:cs="Calibri"/>
          <w:sz w:val="36"/>
          <w:szCs w:val="36"/>
        </w:rPr>
      </w:pPr>
      <w:r w:rsidRPr="7E297EDF">
        <w:rPr>
          <w:rFonts w:ascii="Calibri" w:eastAsia="Calibri" w:hAnsi="Calibri" w:cs="Calibri"/>
          <w:sz w:val="36"/>
          <w:szCs w:val="36"/>
        </w:rPr>
        <w:t xml:space="preserve"> CAWOOD PARISH COUNCIL </w:t>
      </w:r>
    </w:p>
    <w:p w14:paraId="169BAC15" w14:textId="2DA58DAC" w:rsidR="00533FE4" w:rsidRDefault="0B6F55D2" w:rsidP="0B6F55D2">
      <w:pPr>
        <w:rPr>
          <w:rFonts w:ascii="Calibri" w:eastAsia="Calibri" w:hAnsi="Calibri" w:cs="Calibri"/>
          <w:b/>
          <w:bCs/>
          <w:sz w:val="28"/>
          <w:szCs w:val="28"/>
        </w:rPr>
      </w:pPr>
      <w:r w:rsidRPr="0B6F55D2">
        <w:rPr>
          <w:rFonts w:ascii="Calibri" w:eastAsia="Calibri" w:hAnsi="Calibri" w:cs="Calibri"/>
          <w:b/>
          <w:bCs/>
          <w:sz w:val="28"/>
          <w:szCs w:val="28"/>
        </w:rPr>
        <w:t>Security Incident Policy</w:t>
      </w:r>
    </w:p>
    <w:p w14:paraId="0287BCCC" w14:textId="69855F52" w:rsidR="00533FE4" w:rsidRDefault="7E297EDF" w:rsidP="364FBC9F">
      <w:r w:rsidRPr="7E297EDF">
        <w:rPr>
          <w:rFonts w:ascii="Calibri" w:eastAsia="Calibri" w:hAnsi="Calibri" w:cs="Calibri"/>
        </w:rPr>
        <w:t xml:space="preserve"> </w:t>
      </w:r>
    </w:p>
    <w:p w14:paraId="00787594" w14:textId="23C5CB3F" w:rsidR="00533FE4" w:rsidRDefault="0B6F55D2" w:rsidP="0B6F55D2">
      <w:pPr>
        <w:rPr>
          <w:rFonts w:ascii="Calibri" w:eastAsia="Calibri" w:hAnsi="Calibri" w:cs="Calibri"/>
          <w:b/>
          <w:bCs/>
          <w:sz w:val="24"/>
          <w:szCs w:val="24"/>
        </w:rPr>
      </w:pPr>
      <w:r w:rsidRPr="0B6F55D2">
        <w:rPr>
          <w:rFonts w:ascii="Calibri" w:eastAsia="Calibri" w:hAnsi="Calibri" w:cs="Calibri"/>
          <w:b/>
          <w:bCs/>
          <w:sz w:val="28"/>
          <w:szCs w:val="28"/>
        </w:rPr>
        <w:t xml:space="preserve">What is a breach? </w:t>
      </w:r>
    </w:p>
    <w:p w14:paraId="4A166D3A" w14:textId="54FF7339"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A personal data breach means a breach of security leading to the accidental or unlawful destruction, loss, alteration, </w:t>
      </w:r>
      <w:proofErr w:type="spellStart"/>
      <w:r w:rsidRPr="7E297EDF">
        <w:rPr>
          <w:rFonts w:ascii="Calibri" w:eastAsia="Calibri" w:hAnsi="Calibri" w:cs="Calibri"/>
          <w:sz w:val="24"/>
          <w:szCs w:val="24"/>
        </w:rPr>
        <w:t>unauthorised</w:t>
      </w:r>
      <w:proofErr w:type="spellEnd"/>
      <w:r w:rsidRPr="7E297EDF">
        <w:rPr>
          <w:rFonts w:ascii="Calibri" w:eastAsia="Calibri" w:hAnsi="Calibri" w:cs="Calibri"/>
          <w:sz w:val="24"/>
          <w:szCs w:val="24"/>
        </w:rPr>
        <w:t xml:space="preserve"> disclosure of, or access to, personal data. This includes breaches that are the result of both accidental and deliberate causes. It also means that a breach is more than just about losing personal data. </w:t>
      </w:r>
    </w:p>
    <w:p w14:paraId="798DCBFD" w14:textId="354D5E3E" w:rsidR="00533FE4" w:rsidRDefault="0B6F55D2" w:rsidP="0B6F55D2">
      <w:pPr>
        <w:rPr>
          <w:rFonts w:ascii="Calibri" w:eastAsia="Calibri" w:hAnsi="Calibri" w:cs="Calibri"/>
          <w:b/>
          <w:bCs/>
          <w:sz w:val="24"/>
          <w:szCs w:val="24"/>
        </w:rPr>
      </w:pPr>
      <w:r w:rsidRPr="0B6F55D2">
        <w:rPr>
          <w:rFonts w:ascii="Calibri" w:eastAsia="Calibri" w:hAnsi="Calibri" w:cs="Calibri"/>
          <w:b/>
          <w:bCs/>
          <w:sz w:val="28"/>
          <w:szCs w:val="28"/>
        </w:rPr>
        <w:t>Policy</w:t>
      </w:r>
      <w:r w:rsidRPr="0B6F55D2">
        <w:rPr>
          <w:rFonts w:ascii="Calibri" w:eastAsia="Calibri" w:hAnsi="Calibri" w:cs="Calibri"/>
          <w:b/>
          <w:bCs/>
          <w:sz w:val="24"/>
          <w:szCs w:val="24"/>
        </w:rPr>
        <w:t xml:space="preserve"> </w:t>
      </w:r>
    </w:p>
    <w:p w14:paraId="51C7153B" w14:textId="50D12E4F"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This policy specifies the actions with respect to breaches of personal data.</w:t>
      </w:r>
    </w:p>
    <w:p w14:paraId="431F3168" w14:textId="123BA07E"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Example - Personal data breaches can include:</w:t>
      </w:r>
    </w:p>
    <w:p w14:paraId="463A645F" w14:textId="27E34421"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 access by an </w:t>
      </w:r>
      <w:proofErr w:type="spellStart"/>
      <w:r w:rsidRPr="7E297EDF">
        <w:rPr>
          <w:rFonts w:ascii="Calibri" w:eastAsia="Calibri" w:hAnsi="Calibri" w:cs="Calibri"/>
          <w:sz w:val="24"/>
          <w:szCs w:val="24"/>
        </w:rPr>
        <w:t>unauthorised</w:t>
      </w:r>
      <w:proofErr w:type="spellEnd"/>
      <w:r w:rsidRPr="7E297EDF">
        <w:rPr>
          <w:rFonts w:ascii="Calibri" w:eastAsia="Calibri" w:hAnsi="Calibri" w:cs="Calibri"/>
          <w:sz w:val="24"/>
          <w:szCs w:val="24"/>
        </w:rPr>
        <w:t xml:space="preserve"> third party; </w:t>
      </w:r>
    </w:p>
    <w:p w14:paraId="0BCC6485" w14:textId="216F566F"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deliberate or accidental action (or inaction) by a controller or processor; </w:t>
      </w:r>
    </w:p>
    <w:p w14:paraId="7A9386CF" w14:textId="5196C5B6"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sending personal data to an incorrect recipient; </w:t>
      </w:r>
    </w:p>
    <w:p w14:paraId="284E5B45" w14:textId="16A1C7D6"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computing devices containing personal data being lost or stolen; </w:t>
      </w:r>
    </w:p>
    <w:p w14:paraId="6E2A6ACC" w14:textId="0BE10342"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alteration of personal data without permission; </w:t>
      </w:r>
    </w:p>
    <w:p w14:paraId="19489C89" w14:textId="58F276E4"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and loss of availability of personal data </w:t>
      </w:r>
    </w:p>
    <w:p w14:paraId="06824733" w14:textId="7FF9A578" w:rsidR="00533FE4" w:rsidRDefault="0B6F55D2" w:rsidP="0B6F55D2">
      <w:pPr>
        <w:rPr>
          <w:rFonts w:ascii="Calibri" w:eastAsia="Calibri" w:hAnsi="Calibri" w:cs="Calibri"/>
          <w:b/>
          <w:bCs/>
          <w:sz w:val="24"/>
          <w:szCs w:val="24"/>
        </w:rPr>
      </w:pPr>
      <w:r w:rsidRPr="0B6F55D2">
        <w:rPr>
          <w:rFonts w:ascii="Calibri" w:eastAsia="Calibri" w:hAnsi="Calibri" w:cs="Calibri"/>
          <w:b/>
          <w:bCs/>
          <w:sz w:val="28"/>
          <w:szCs w:val="28"/>
        </w:rPr>
        <w:t>Dealing with an incident</w:t>
      </w:r>
    </w:p>
    <w:p w14:paraId="4783824C" w14:textId="419E71D4" w:rsidR="00533FE4" w:rsidRDefault="0B6F55D2" w:rsidP="0B6F55D2">
      <w:pPr>
        <w:rPr>
          <w:rFonts w:ascii="Calibri" w:eastAsia="Calibri" w:hAnsi="Calibri" w:cs="Calibri"/>
          <w:b/>
          <w:bCs/>
          <w:sz w:val="24"/>
          <w:szCs w:val="24"/>
        </w:rPr>
      </w:pPr>
      <w:r w:rsidRPr="0B6F55D2">
        <w:rPr>
          <w:rFonts w:ascii="Calibri" w:eastAsia="Calibri" w:hAnsi="Calibri" w:cs="Calibri"/>
          <w:sz w:val="24"/>
          <w:szCs w:val="24"/>
        </w:rPr>
        <w:t xml:space="preserve"> </w:t>
      </w:r>
      <w:r w:rsidRPr="0B6F55D2">
        <w:rPr>
          <w:rFonts w:ascii="Calibri" w:eastAsia="Calibri" w:hAnsi="Calibri" w:cs="Calibri"/>
          <w:b/>
          <w:bCs/>
          <w:sz w:val="24"/>
          <w:szCs w:val="24"/>
        </w:rPr>
        <w:t xml:space="preserve">Reporting Point. </w:t>
      </w:r>
    </w:p>
    <w:p w14:paraId="2C078E63" w14:textId="29A15408"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On discovery of an incident either as a result of automatic notification, accidental discovery, manual record checking or any other means, all personnel shall;</w:t>
      </w:r>
    </w:p>
    <w:p w14:paraId="6CBD8DAD" w14:textId="19084239" w:rsidR="364FBC9F" w:rsidRDefault="6E0E4D02" w:rsidP="6E0E4D02">
      <w:pPr>
        <w:rPr>
          <w:rFonts w:ascii="Calibri" w:eastAsia="Calibri" w:hAnsi="Calibri" w:cs="Calibri"/>
          <w:sz w:val="24"/>
          <w:szCs w:val="24"/>
        </w:rPr>
      </w:pPr>
      <w:r w:rsidRPr="6E0E4D02">
        <w:rPr>
          <w:rFonts w:ascii="Calibri" w:eastAsia="Calibri" w:hAnsi="Calibri" w:cs="Calibri"/>
          <w:sz w:val="24"/>
          <w:szCs w:val="24"/>
        </w:rPr>
        <w:t xml:space="preserve">1. Report the incident to the reporting point: ◦ The clerk of the council ▪ email: </w:t>
      </w:r>
      <w:hyperlink r:id="rId5">
        <w:r w:rsidR="007B003E">
          <w:rPr>
            <w:rStyle w:val="Hyperlink"/>
            <w:rFonts w:ascii="Calibri" w:eastAsia="Calibri" w:hAnsi="Calibri" w:cs="Calibri"/>
            <w:sz w:val="24"/>
            <w:szCs w:val="24"/>
          </w:rPr>
          <w:t>cawood.pclerk@gmail.com</w:t>
        </w:r>
      </w:hyperlink>
      <w:r w:rsidR="007B003E">
        <w:rPr>
          <w:rStyle w:val="Hyperlink"/>
          <w:rFonts w:ascii="Calibri" w:eastAsia="Calibri" w:hAnsi="Calibri" w:cs="Calibri"/>
          <w:sz w:val="24"/>
          <w:szCs w:val="24"/>
        </w:rPr>
        <w:t xml:space="preserve"> </w:t>
      </w:r>
      <w:r w:rsidRPr="6E0E4D02">
        <w:rPr>
          <w:rFonts w:ascii="Calibri" w:eastAsia="Calibri" w:hAnsi="Calibri" w:cs="Calibri"/>
          <w:sz w:val="24"/>
          <w:szCs w:val="24"/>
        </w:rPr>
        <w:t xml:space="preserve"> </w:t>
      </w:r>
    </w:p>
    <w:p w14:paraId="188C4C01" w14:textId="651EB82B" w:rsidR="364FBC9F" w:rsidRDefault="0B6F55D2" w:rsidP="0B6F55D2">
      <w:pPr>
        <w:rPr>
          <w:rFonts w:ascii="Calibri" w:eastAsia="Calibri" w:hAnsi="Calibri" w:cs="Calibri"/>
          <w:color w:val="1C1C1C"/>
          <w:sz w:val="25"/>
          <w:szCs w:val="25"/>
        </w:rPr>
      </w:pPr>
      <w:r w:rsidRPr="0B6F55D2">
        <w:rPr>
          <w:rFonts w:ascii="Calibri" w:eastAsia="Calibri" w:hAnsi="Calibri" w:cs="Calibri"/>
          <w:sz w:val="24"/>
          <w:szCs w:val="24"/>
        </w:rPr>
        <w:t xml:space="preserve"> 2. The email report should be followed by a telephone call to the clerk on </w:t>
      </w:r>
      <w:r w:rsidRPr="0B6F55D2">
        <w:rPr>
          <w:rFonts w:ascii="Calibri" w:eastAsia="Calibri" w:hAnsi="Calibri" w:cs="Calibri"/>
          <w:color w:val="1C1C1C"/>
          <w:sz w:val="25"/>
          <w:szCs w:val="25"/>
        </w:rPr>
        <w:t>07541 434569</w:t>
      </w:r>
    </w:p>
    <w:p w14:paraId="1B9A9046" w14:textId="20DF312D" w:rsidR="364FBC9F" w:rsidRDefault="6E0E4D02" w:rsidP="7E297EDF">
      <w:pPr>
        <w:rPr>
          <w:rFonts w:ascii="Calibri" w:eastAsia="Calibri" w:hAnsi="Calibri" w:cs="Calibri"/>
          <w:sz w:val="24"/>
          <w:szCs w:val="24"/>
        </w:rPr>
      </w:pPr>
      <w:r w:rsidRPr="6E0E4D02">
        <w:rPr>
          <w:rFonts w:ascii="Calibri" w:eastAsia="Calibri" w:hAnsi="Calibri" w:cs="Calibri"/>
          <w:sz w:val="24"/>
          <w:szCs w:val="24"/>
        </w:rPr>
        <w:t xml:space="preserve"> 3. Should the clerk be unavailable the chairman or vice-chairman of the council should be informed. </w:t>
      </w:r>
    </w:p>
    <w:p w14:paraId="36A560FF" w14:textId="112011FB" w:rsidR="364FBC9F" w:rsidRDefault="6E0E4D02" w:rsidP="7E297EDF">
      <w:pPr>
        <w:rPr>
          <w:rFonts w:ascii="Calibri" w:eastAsia="Calibri" w:hAnsi="Calibri" w:cs="Calibri"/>
          <w:sz w:val="24"/>
          <w:szCs w:val="24"/>
        </w:rPr>
      </w:pPr>
      <w:r w:rsidRPr="6E0E4D02">
        <w:rPr>
          <w:rFonts w:ascii="Calibri" w:eastAsia="Calibri" w:hAnsi="Calibri" w:cs="Calibri"/>
          <w:sz w:val="24"/>
          <w:szCs w:val="24"/>
        </w:rPr>
        <w:t xml:space="preserve">4. Should they not be available all members should be notified </w:t>
      </w:r>
    </w:p>
    <w:p w14:paraId="25FBD099" w14:textId="73F23F14" w:rsidR="364FBC9F" w:rsidRDefault="364FBC9F" w:rsidP="7E297EDF">
      <w:pPr>
        <w:rPr>
          <w:rFonts w:ascii="Calibri" w:eastAsia="Calibri" w:hAnsi="Calibri" w:cs="Calibri"/>
          <w:sz w:val="24"/>
          <w:szCs w:val="24"/>
        </w:rPr>
      </w:pPr>
    </w:p>
    <w:p w14:paraId="5DBB0473" w14:textId="18459E47" w:rsidR="364FBC9F" w:rsidRDefault="0B6F55D2" w:rsidP="0B6F55D2">
      <w:pPr>
        <w:rPr>
          <w:rFonts w:ascii="Calibri" w:eastAsia="Calibri" w:hAnsi="Calibri" w:cs="Calibri"/>
          <w:b/>
          <w:bCs/>
          <w:sz w:val="24"/>
          <w:szCs w:val="24"/>
        </w:rPr>
      </w:pPr>
      <w:r w:rsidRPr="0B6F55D2">
        <w:rPr>
          <w:rFonts w:ascii="Calibri" w:eastAsia="Calibri" w:hAnsi="Calibri" w:cs="Calibri"/>
          <w:b/>
          <w:bCs/>
          <w:sz w:val="24"/>
          <w:szCs w:val="24"/>
        </w:rPr>
        <w:lastRenderedPageBreak/>
        <w:t xml:space="preserve">Reporting Point Responsibilities </w:t>
      </w:r>
    </w:p>
    <w:p w14:paraId="713EE2A5" w14:textId="39620270"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All incidents must be recorded. </w:t>
      </w:r>
    </w:p>
    <w:p w14:paraId="274F636E" w14:textId="65D6DFE2"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The reporting point shall perform the following actions; </w:t>
      </w:r>
    </w:p>
    <w:p w14:paraId="54129879" w14:textId="26102916" w:rsidR="364FBC9F" w:rsidRDefault="0B6F55D2" w:rsidP="7E297EDF">
      <w:pPr>
        <w:pStyle w:val="ListParagraph"/>
        <w:numPr>
          <w:ilvl w:val="0"/>
          <w:numId w:val="1"/>
        </w:numPr>
        <w:rPr>
          <w:rFonts w:eastAsiaTheme="minorEastAsia"/>
          <w:sz w:val="24"/>
          <w:szCs w:val="24"/>
        </w:rPr>
      </w:pPr>
      <w:r w:rsidRPr="0B6F55D2">
        <w:rPr>
          <w:rFonts w:ascii="Calibri" w:eastAsia="Calibri" w:hAnsi="Calibri" w:cs="Calibri"/>
          <w:sz w:val="24"/>
          <w:szCs w:val="24"/>
        </w:rPr>
        <w:t xml:space="preserve"> Note the time, date and nature of incident together with a description and as much detail as appropriate creating an Incident Response Form.</w:t>
      </w:r>
    </w:p>
    <w:p w14:paraId="7CBD159D" w14:textId="171693E4" w:rsidR="364FBC9F" w:rsidRDefault="7E297EDF" w:rsidP="7E297EDF">
      <w:pPr>
        <w:pStyle w:val="ListParagraph"/>
        <w:numPr>
          <w:ilvl w:val="0"/>
          <w:numId w:val="1"/>
        </w:numPr>
        <w:rPr>
          <w:rFonts w:eastAsiaTheme="minorEastAsia"/>
          <w:sz w:val="24"/>
          <w:szCs w:val="24"/>
        </w:rPr>
      </w:pPr>
      <w:r w:rsidRPr="7E297EDF">
        <w:rPr>
          <w:rFonts w:ascii="Calibri" w:eastAsia="Calibri" w:hAnsi="Calibri" w:cs="Calibri"/>
          <w:sz w:val="24"/>
          <w:szCs w:val="24"/>
        </w:rPr>
        <w:t xml:space="preserve"> Ensure the protection of any evidence and that a documented chain of evidence is maintained. </w:t>
      </w:r>
    </w:p>
    <w:p w14:paraId="61F73505" w14:textId="7C602141" w:rsidR="364FBC9F" w:rsidRDefault="7E297EDF" w:rsidP="7E297EDF">
      <w:pPr>
        <w:pStyle w:val="ListParagraph"/>
        <w:numPr>
          <w:ilvl w:val="0"/>
          <w:numId w:val="1"/>
        </w:numPr>
        <w:rPr>
          <w:rFonts w:eastAsiaTheme="minorEastAsia"/>
          <w:sz w:val="24"/>
          <w:szCs w:val="24"/>
        </w:rPr>
      </w:pPr>
      <w:r w:rsidRPr="7E297EDF">
        <w:rPr>
          <w:rFonts w:ascii="Calibri" w:eastAsia="Calibri" w:hAnsi="Calibri" w:cs="Calibri"/>
          <w:sz w:val="24"/>
          <w:szCs w:val="24"/>
        </w:rPr>
        <w:t xml:space="preserve">Liaise with relevant authorities, individuals and the media where appropriate. </w:t>
      </w:r>
    </w:p>
    <w:p w14:paraId="02140322" w14:textId="107DA8FB" w:rsidR="364FBC9F" w:rsidRDefault="7E297EDF" w:rsidP="7E297EDF">
      <w:pPr>
        <w:pStyle w:val="ListParagraph"/>
        <w:numPr>
          <w:ilvl w:val="0"/>
          <w:numId w:val="1"/>
        </w:numPr>
        <w:rPr>
          <w:rFonts w:eastAsiaTheme="minorEastAsia"/>
          <w:sz w:val="24"/>
          <w:szCs w:val="24"/>
        </w:rPr>
      </w:pPr>
      <w:r w:rsidRPr="7E297EDF">
        <w:rPr>
          <w:rFonts w:ascii="Calibri" w:eastAsia="Calibri" w:hAnsi="Calibri" w:cs="Calibri"/>
          <w:sz w:val="24"/>
          <w:szCs w:val="24"/>
        </w:rPr>
        <w:t xml:space="preserve"> Keep a note of all communications together with their date, time, who has been communicated with, and what the content and nature of communication was on the Incident Response Form.</w:t>
      </w:r>
    </w:p>
    <w:p w14:paraId="746390A9" w14:textId="54B93E70" w:rsidR="364FBC9F" w:rsidRDefault="0B6F55D2" w:rsidP="0B6F55D2">
      <w:pPr>
        <w:rPr>
          <w:rFonts w:ascii="Calibri" w:eastAsia="Calibri" w:hAnsi="Calibri" w:cs="Calibri"/>
          <w:b/>
          <w:bCs/>
          <w:sz w:val="24"/>
          <w:szCs w:val="24"/>
        </w:rPr>
      </w:pPr>
      <w:r w:rsidRPr="0B6F55D2">
        <w:rPr>
          <w:rFonts w:ascii="Calibri" w:eastAsia="Calibri" w:hAnsi="Calibri" w:cs="Calibri"/>
          <w:b/>
          <w:bCs/>
          <w:sz w:val="24"/>
          <w:szCs w:val="24"/>
        </w:rPr>
        <w:t xml:space="preserve"> </w:t>
      </w:r>
      <w:r w:rsidRPr="0B6F55D2">
        <w:rPr>
          <w:rFonts w:ascii="Calibri" w:eastAsia="Calibri" w:hAnsi="Calibri" w:cs="Calibri"/>
          <w:b/>
          <w:bCs/>
          <w:sz w:val="28"/>
          <w:szCs w:val="28"/>
        </w:rPr>
        <w:t>Incident Response Plan</w:t>
      </w:r>
    </w:p>
    <w:p w14:paraId="399A9067" w14:textId="7E30AE5F"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 xml:space="preserve"> 1. </w:t>
      </w:r>
      <w:r w:rsidRPr="0B6F55D2">
        <w:rPr>
          <w:rFonts w:ascii="Calibri" w:eastAsia="Calibri" w:hAnsi="Calibri" w:cs="Calibri"/>
          <w:b/>
          <w:bCs/>
          <w:i/>
          <w:iCs/>
          <w:sz w:val="24"/>
          <w:szCs w:val="24"/>
        </w:rPr>
        <w:t>Assess the risk</w:t>
      </w:r>
      <w:r w:rsidRPr="0B6F55D2">
        <w:rPr>
          <w:rFonts w:ascii="Calibri" w:eastAsia="Calibri" w:hAnsi="Calibri" w:cs="Calibri"/>
          <w:sz w:val="24"/>
          <w:szCs w:val="24"/>
        </w:rPr>
        <w:t xml:space="preserve"> to individuals as a result of a breach: </w:t>
      </w:r>
    </w:p>
    <w:p w14:paraId="1890EF90" w14:textId="532FA4D7"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The following must be considered:</w:t>
      </w:r>
    </w:p>
    <w:p w14:paraId="2C6A09D5" w14:textId="603838B2"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a. the categories and approximate number of individuals concerned, and;</w:t>
      </w:r>
    </w:p>
    <w:p w14:paraId="2EA01EB4" w14:textId="6A32EB08"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b. the categories and approximate number of personal data records concerned, and;</w:t>
      </w:r>
    </w:p>
    <w:p w14:paraId="2D044FDA" w14:textId="39CB9C5B"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c. the likely consequences of the personal data breach, in particular consider if the impact results in a risk to the rights and freedoms of individuals.</w:t>
      </w:r>
    </w:p>
    <w:p w14:paraId="38B00268" w14:textId="38F3F3BC"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d. To help assess the risks refer to the Information Commissioner Office (ICO) website: </w:t>
      </w:r>
    </w:p>
    <w:p w14:paraId="3434E31B" w14:textId="2BBA8C04" w:rsidR="364FBC9F" w:rsidRDefault="7E297EDF" w:rsidP="7E297EDF">
      <w:pPr>
        <w:rPr>
          <w:rFonts w:ascii="Calibri" w:eastAsia="Calibri" w:hAnsi="Calibri" w:cs="Calibri"/>
          <w:sz w:val="24"/>
          <w:szCs w:val="24"/>
        </w:rPr>
      </w:pPr>
      <w:proofErr w:type="spellStart"/>
      <w:r w:rsidRPr="7E297EDF">
        <w:rPr>
          <w:rFonts w:ascii="Calibri" w:eastAsia="Calibri" w:hAnsi="Calibri" w:cs="Calibri"/>
          <w:sz w:val="24"/>
          <w:szCs w:val="24"/>
        </w:rPr>
        <w:t>i</w:t>
      </w:r>
      <w:proofErr w:type="spellEnd"/>
      <w:r w:rsidRPr="7E297EDF">
        <w:rPr>
          <w:rFonts w:ascii="Calibri" w:eastAsia="Calibri" w:hAnsi="Calibri" w:cs="Calibri"/>
          <w:sz w:val="24"/>
          <w:szCs w:val="24"/>
        </w:rPr>
        <w:t xml:space="preserve">. https://ico.org.uk/for-organisations/report-a-breach/ ii. https://ico.org.uk/for-organisations/guide-to-the-general-data-protectionregulation-gdpr/personal-data-breaches/ </w:t>
      </w:r>
    </w:p>
    <w:p w14:paraId="60A4CB26" w14:textId="48042E5E"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 xml:space="preserve">2. </w:t>
      </w:r>
      <w:r w:rsidRPr="0B6F55D2">
        <w:rPr>
          <w:rFonts w:ascii="Calibri" w:eastAsia="Calibri" w:hAnsi="Calibri" w:cs="Calibri"/>
          <w:b/>
          <w:bCs/>
          <w:i/>
          <w:iCs/>
          <w:sz w:val="24"/>
          <w:szCs w:val="24"/>
        </w:rPr>
        <w:t xml:space="preserve">If the incident is deemed to be a notifiable incident </w:t>
      </w:r>
      <w:r w:rsidRPr="0B6F55D2">
        <w:rPr>
          <w:rFonts w:ascii="Calibri" w:eastAsia="Calibri" w:hAnsi="Calibri" w:cs="Calibri"/>
          <w:sz w:val="24"/>
          <w:szCs w:val="24"/>
        </w:rPr>
        <w:t xml:space="preserve">the following actions must be taken: </w:t>
      </w:r>
    </w:p>
    <w:p w14:paraId="586F3F7A" w14:textId="6D75116A"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a. Within 72 hours of becoming aware of the incident (even if not aware of all the details yet): b. Call ICO: 0303 123 1113 – and provide the following information:</w:t>
      </w:r>
    </w:p>
    <w:p w14:paraId="1E7895DB" w14:textId="319C7A61"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what has happened; </w:t>
      </w:r>
    </w:p>
    <w:p w14:paraId="4A4FCF00" w14:textId="3DFD0FD0"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when and how the council found out about the breach;</w:t>
      </w:r>
    </w:p>
    <w:p w14:paraId="67E38151" w14:textId="09211068"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 the people (how many) that have been or may be affected by the breach;</w:t>
      </w:r>
    </w:p>
    <w:p w14:paraId="40FBE8E9" w14:textId="15448D4C"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 what the council are doing as a result of the breach; and </w:t>
      </w:r>
    </w:p>
    <w:p w14:paraId="736D69AB" w14:textId="603E1780"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who else has been told.</w:t>
      </w:r>
    </w:p>
    <w:p w14:paraId="01555E66" w14:textId="554F4135" w:rsidR="364FBC9F" w:rsidRDefault="364FBC9F" w:rsidP="7E297EDF">
      <w:pPr>
        <w:rPr>
          <w:rFonts w:ascii="Calibri" w:eastAsia="Calibri" w:hAnsi="Calibri" w:cs="Calibri"/>
          <w:sz w:val="24"/>
          <w:szCs w:val="24"/>
        </w:rPr>
      </w:pPr>
    </w:p>
    <w:p w14:paraId="626F5406" w14:textId="5968F2CA"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c. For reporting a breach outside normal working hours use the ICO Reporting Form: https://ico.org.uk/for-organisations/report-a-breach/personal-data-breach/ </w:t>
      </w:r>
    </w:p>
    <w:p w14:paraId="588466CD" w14:textId="64B2B4A4"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 xml:space="preserve">3. </w:t>
      </w:r>
      <w:r w:rsidRPr="0B6F55D2">
        <w:rPr>
          <w:rFonts w:ascii="Calibri" w:eastAsia="Calibri" w:hAnsi="Calibri" w:cs="Calibri"/>
          <w:b/>
          <w:bCs/>
          <w:i/>
          <w:iCs/>
          <w:sz w:val="24"/>
          <w:szCs w:val="24"/>
        </w:rPr>
        <w:t xml:space="preserve">If the incident is deemed to result in a high risk </w:t>
      </w:r>
      <w:r w:rsidRPr="0B6F55D2">
        <w:rPr>
          <w:rFonts w:ascii="Calibri" w:eastAsia="Calibri" w:hAnsi="Calibri" w:cs="Calibri"/>
          <w:sz w:val="24"/>
          <w:szCs w:val="24"/>
        </w:rPr>
        <w:t xml:space="preserve">to the right and freedoms of individuals: </w:t>
      </w:r>
    </w:p>
    <w:p w14:paraId="6B6F42EF" w14:textId="71D0F321"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a. Within 48 hours the affected individuals must be informed by telephone, letter or email about the incident as there may be a need for them to take actions to mitigate immediate risk of damage to them.</w:t>
      </w:r>
    </w:p>
    <w:p w14:paraId="5DD1D86C" w14:textId="5EFE7CF5"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b. The individuals must be told in clear and plain language: </w:t>
      </w:r>
    </w:p>
    <w:p w14:paraId="6443F962" w14:textId="3E170BDB" w:rsidR="364FBC9F" w:rsidRDefault="0B6F55D2" w:rsidP="7E297EDF">
      <w:pPr>
        <w:rPr>
          <w:rFonts w:ascii="Calibri" w:eastAsia="Calibri" w:hAnsi="Calibri" w:cs="Calibri"/>
          <w:sz w:val="24"/>
          <w:szCs w:val="24"/>
        </w:rPr>
      </w:pPr>
      <w:proofErr w:type="spellStart"/>
      <w:r w:rsidRPr="0B6F55D2">
        <w:rPr>
          <w:rFonts w:ascii="Calibri" w:eastAsia="Calibri" w:hAnsi="Calibri" w:cs="Calibri"/>
          <w:sz w:val="24"/>
          <w:szCs w:val="24"/>
        </w:rPr>
        <w:t>i</w:t>
      </w:r>
      <w:proofErr w:type="spellEnd"/>
      <w:r w:rsidRPr="0B6F55D2">
        <w:rPr>
          <w:rFonts w:ascii="Calibri" w:eastAsia="Calibri" w:hAnsi="Calibri" w:cs="Calibri"/>
          <w:sz w:val="24"/>
          <w:szCs w:val="24"/>
        </w:rPr>
        <w:t>. The nature of the personal data breach and;</w:t>
      </w:r>
    </w:p>
    <w:p w14:paraId="55A8E899" w14:textId="5EE001E1"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ii. A description of the likely consequences of the personal data breach; and</w:t>
      </w:r>
    </w:p>
    <w:p w14:paraId="3DA4E3FC" w14:textId="01A4CF16"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iii. A description of the measures taken, or proposed to be taken, to deal with the personal data breach and including, where appropriate, of the measures taken to mitigate any possible adverse effects, and;</w:t>
      </w:r>
    </w:p>
    <w:p w14:paraId="0440B053" w14:textId="7C10CD93"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 xml:space="preserve"> iv. The name and contact details of the clerk or chairman from whom more information can be obtained;</w:t>
      </w:r>
    </w:p>
    <w:p w14:paraId="56C0ED14" w14:textId="0C3E3A23"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 xml:space="preserve"> 4. </w:t>
      </w:r>
      <w:r w:rsidRPr="0B6F55D2">
        <w:rPr>
          <w:rFonts w:ascii="Calibri" w:eastAsia="Calibri" w:hAnsi="Calibri" w:cs="Calibri"/>
          <w:b/>
          <w:bCs/>
          <w:i/>
          <w:iCs/>
          <w:sz w:val="24"/>
          <w:szCs w:val="24"/>
        </w:rPr>
        <w:t>If the incident is not deemed to be notifiable:</w:t>
      </w:r>
      <w:r w:rsidRPr="0B6F55D2">
        <w:rPr>
          <w:rFonts w:ascii="Calibri" w:eastAsia="Calibri" w:hAnsi="Calibri" w:cs="Calibri"/>
          <w:sz w:val="24"/>
          <w:szCs w:val="24"/>
        </w:rPr>
        <w:t xml:space="preserve"> </w:t>
      </w:r>
    </w:p>
    <w:p w14:paraId="676BB9FA" w14:textId="3D7DC669"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a. Update the Incident Response Form along with the outcome of the risk assessment.</w:t>
      </w:r>
    </w:p>
    <w:p w14:paraId="5F8B91A4" w14:textId="0862EEF8"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b. Include the steps and evidence used to identify and classify the risk. Include reasons why the incident is not deemed to result in a risk to the rights and freedoms of individuals.</w:t>
      </w:r>
    </w:p>
    <w:p w14:paraId="08770CD9" w14:textId="6DFA52C0" w:rsidR="364FBC9F" w:rsidRDefault="0B6F55D2" w:rsidP="0B6F55D2">
      <w:pPr>
        <w:rPr>
          <w:rFonts w:ascii="Calibri" w:eastAsia="Calibri" w:hAnsi="Calibri" w:cs="Calibri"/>
          <w:b/>
          <w:bCs/>
          <w:i/>
          <w:iCs/>
          <w:sz w:val="24"/>
          <w:szCs w:val="24"/>
        </w:rPr>
      </w:pPr>
      <w:r w:rsidRPr="0B6F55D2">
        <w:rPr>
          <w:rFonts w:ascii="Calibri" w:eastAsia="Calibri" w:hAnsi="Calibri" w:cs="Calibri"/>
          <w:sz w:val="24"/>
          <w:szCs w:val="24"/>
        </w:rPr>
        <w:t xml:space="preserve"> 5. </w:t>
      </w:r>
      <w:r w:rsidRPr="0B6F55D2">
        <w:rPr>
          <w:rFonts w:ascii="Calibri" w:eastAsia="Calibri" w:hAnsi="Calibri" w:cs="Calibri"/>
          <w:b/>
          <w:bCs/>
          <w:i/>
          <w:iCs/>
          <w:sz w:val="24"/>
          <w:szCs w:val="24"/>
        </w:rPr>
        <w:t xml:space="preserve">Incident Review: </w:t>
      </w:r>
    </w:p>
    <w:p w14:paraId="0AEBFBF6" w14:textId="181540B8"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The incident must be reviewed and recorded at the next appropriate Council meeting as a separate agenda item whether notifiable or not</w:t>
      </w:r>
    </w:p>
    <w:p w14:paraId="1B8DD075" w14:textId="2A80D786"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a. The Council will also consider whether discussion of the incident warrants exclusion of the press and public from the meeting during that discussion.</w:t>
      </w:r>
    </w:p>
    <w:p w14:paraId="0153060D" w14:textId="09E97E06" w:rsidR="364FBC9F" w:rsidRDefault="0B6F55D2" w:rsidP="0B6F55D2">
      <w:pPr>
        <w:rPr>
          <w:rFonts w:ascii="Calibri" w:eastAsia="Calibri" w:hAnsi="Calibri" w:cs="Calibri"/>
          <w:sz w:val="24"/>
          <w:szCs w:val="24"/>
        </w:rPr>
      </w:pPr>
      <w:r w:rsidRPr="0B6F55D2">
        <w:rPr>
          <w:rFonts w:ascii="Calibri" w:eastAsia="Calibri" w:hAnsi="Calibri" w:cs="Calibri"/>
          <w:sz w:val="24"/>
          <w:szCs w:val="24"/>
        </w:rPr>
        <w:t xml:space="preserve"> b. At that meeting the council should determine further actions to be assigned or completed as a result of the incident</w:t>
      </w:r>
    </w:p>
    <w:p w14:paraId="1B56DCCD" w14:textId="74DB645B" w:rsidR="364FBC9F" w:rsidRDefault="0B6F55D2" w:rsidP="0B6F55D2">
      <w:pPr>
        <w:rPr>
          <w:rFonts w:ascii="Calibri" w:eastAsia="Calibri" w:hAnsi="Calibri" w:cs="Calibri"/>
          <w:sz w:val="24"/>
          <w:szCs w:val="24"/>
        </w:rPr>
      </w:pPr>
      <w:r w:rsidRPr="0B6F55D2">
        <w:rPr>
          <w:rFonts w:ascii="Calibri" w:eastAsia="Calibri" w:hAnsi="Calibri" w:cs="Calibri"/>
          <w:sz w:val="24"/>
          <w:szCs w:val="24"/>
        </w:rPr>
        <w:t>C Further actions where human error has been involved in the breach should include training in GDPR to be undertaken with expediency</w:t>
      </w:r>
    </w:p>
    <w:p w14:paraId="6D4B6564" w14:textId="4EAC900F"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d. It should be noted that this final stage of the incident may require a review of this policy document.</w:t>
      </w:r>
    </w:p>
    <w:p w14:paraId="14BAB313" w14:textId="48E40B05" w:rsidR="7E297EDF" w:rsidRDefault="0B6F55D2" w:rsidP="7E297EDF">
      <w:pPr>
        <w:rPr>
          <w:rFonts w:ascii="Calibri" w:eastAsia="Calibri" w:hAnsi="Calibri" w:cs="Calibri"/>
          <w:sz w:val="24"/>
          <w:szCs w:val="24"/>
        </w:rPr>
      </w:pPr>
      <w:r w:rsidRPr="0B6F55D2">
        <w:rPr>
          <w:rFonts w:ascii="Calibri" w:eastAsia="Calibri" w:hAnsi="Calibri" w:cs="Calibri"/>
          <w:sz w:val="24"/>
          <w:szCs w:val="24"/>
        </w:rPr>
        <w:t>May 2021</w:t>
      </w:r>
    </w:p>
    <w:p w14:paraId="5CD3BB5C" w14:textId="6CED0FD2"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Policy Review: This policy will be reviewed </w:t>
      </w:r>
      <w:r w:rsidR="0020441F">
        <w:rPr>
          <w:rFonts w:ascii="Calibri" w:eastAsia="Calibri" w:hAnsi="Calibri" w:cs="Calibri"/>
          <w:sz w:val="24"/>
          <w:szCs w:val="24"/>
        </w:rPr>
        <w:t>two yearly</w:t>
      </w:r>
      <w:r w:rsidRPr="7E297EDF">
        <w:rPr>
          <w:rFonts w:ascii="Calibri" w:eastAsia="Calibri" w:hAnsi="Calibri" w:cs="Calibri"/>
          <w:sz w:val="24"/>
          <w:szCs w:val="24"/>
        </w:rPr>
        <w:t xml:space="preserve"> or at any other time the council requires.</w:t>
      </w:r>
    </w:p>
    <w:sectPr w:rsidR="364FB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D4D"/>
    <w:multiLevelType w:val="hybridMultilevel"/>
    <w:tmpl w:val="AECEB4E2"/>
    <w:lvl w:ilvl="0" w:tplc="DA963CE6">
      <w:start w:val="1"/>
      <w:numFmt w:val="bullet"/>
      <w:lvlText w:val=""/>
      <w:lvlJc w:val="left"/>
      <w:pPr>
        <w:ind w:left="720" w:hanging="360"/>
      </w:pPr>
      <w:rPr>
        <w:rFonts w:ascii="Symbol" w:hAnsi="Symbol" w:hint="default"/>
      </w:rPr>
    </w:lvl>
    <w:lvl w:ilvl="1" w:tplc="B2FC06E4">
      <w:start w:val="1"/>
      <w:numFmt w:val="bullet"/>
      <w:lvlText w:val="o"/>
      <w:lvlJc w:val="left"/>
      <w:pPr>
        <w:ind w:left="1440" w:hanging="360"/>
      </w:pPr>
      <w:rPr>
        <w:rFonts w:ascii="Courier New" w:hAnsi="Courier New" w:hint="default"/>
      </w:rPr>
    </w:lvl>
    <w:lvl w:ilvl="2" w:tplc="A428FDB2">
      <w:start w:val="1"/>
      <w:numFmt w:val="bullet"/>
      <w:lvlText w:val=""/>
      <w:lvlJc w:val="left"/>
      <w:pPr>
        <w:ind w:left="2160" w:hanging="360"/>
      </w:pPr>
      <w:rPr>
        <w:rFonts w:ascii="Wingdings" w:hAnsi="Wingdings" w:hint="default"/>
      </w:rPr>
    </w:lvl>
    <w:lvl w:ilvl="3" w:tplc="5CBE6916">
      <w:start w:val="1"/>
      <w:numFmt w:val="bullet"/>
      <w:lvlText w:val=""/>
      <w:lvlJc w:val="left"/>
      <w:pPr>
        <w:ind w:left="2880" w:hanging="360"/>
      </w:pPr>
      <w:rPr>
        <w:rFonts w:ascii="Symbol" w:hAnsi="Symbol" w:hint="default"/>
      </w:rPr>
    </w:lvl>
    <w:lvl w:ilvl="4" w:tplc="0BEA8A32">
      <w:start w:val="1"/>
      <w:numFmt w:val="bullet"/>
      <w:lvlText w:val="o"/>
      <w:lvlJc w:val="left"/>
      <w:pPr>
        <w:ind w:left="3600" w:hanging="360"/>
      </w:pPr>
      <w:rPr>
        <w:rFonts w:ascii="Courier New" w:hAnsi="Courier New" w:hint="default"/>
      </w:rPr>
    </w:lvl>
    <w:lvl w:ilvl="5" w:tplc="21F405CC">
      <w:start w:val="1"/>
      <w:numFmt w:val="bullet"/>
      <w:lvlText w:val=""/>
      <w:lvlJc w:val="left"/>
      <w:pPr>
        <w:ind w:left="4320" w:hanging="360"/>
      </w:pPr>
      <w:rPr>
        <w:rFonts w:ascii="Wingdings" w:hAnsi="Wingdings" w:hint="default"/>
      </w:rPr>
    </w:lvl>
    <w:lvl w:ilvl="6" w:tplc="B0EE469C">
      <w:start w:val="1"/>
      <w:numFmt w:val="bullet"/>
      <w:lvlText w:val=""/>
      <w:lvlJc w:val="left"/>
      <w:pPr>
        <w:ind w:left="5040" w:hanging="360"/>
      </w:pPr>
      <w:rPr>
        <w:rFonts w:ascii="Symbol" w:hAnsi="Symbol" w:hint="default"/>
      </w:rPr>
    </w:lvl>
    <w:lvl w:ilvl="7" w:tplc="61A21F90">
      <w:start w:val="1"/>
      <w:numFmt w:val="bullet"/>
      <w:lvlText w:val="o"/>
      <w:lvlJc w:val="left"/>
      <w:pPr>
        <w:ind w:left="5760" w:hanging="360"/>
      </w:pPr>
      <w:rPr>
        <w:rFonts w:ascii="Courier New" w:hAnsi="Courier New" w:hint="default"/>
      </w:rPr>
    </w:lvl>
    <w:lvl w:ilvl="8" w:tplc="523422D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A051D8"/>
    <w:rsid w:val="0020441F"/>
    <w:rsid w:val="00533FE4"/>
    <w:rsid w:val="006F5DFE"/>
    <w:rsid w:val="007B003E"/>
    <w:rsid w:val="007F4AAA"/>
    <w:rsid w:val="0B6F55D2"/>
    <w:rsid w:val="22A051D8"/>
    <w:rsid w:val="364FBC9F"/>
    <w:rsid w:val="6E0E4D02"/>
    <w:rsid w:val="7E29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51D8"/>
  <w15:chartTrackingRefBased/>
  <w15:docId w15:val="{676EA4DD-6CCC-488F-A1B0-F3B4D733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cawoodvilla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Robina Burton</cp:lastModifiedBy>
  <cp:revision>5</cp:revision>
  <dcterms:created xsi:type="dcterms:W3CDTF">2021-05-02T13:17:00Z</dcterms:created>
  <dcterms:modified xsi:type="dcterms:W3CDTF">2021-05-07T11:19:00Z</dcterms:modified>
</cp:coreProperties>
</file>